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969" w:rsidRDefault="00503969" w:rsidP="00503969">
      <w:pPr>
        <w:spacing w:after="0" w:line="240" w:lineRule="auto"/>
        <w:jc w:val="right"/>
      </w:pPr>
      <w:r w:rsidRPr="00503969">
        <w:t>Pádraig Ó Conbhuí</w:t>
      </w:r>
      <w:r>
        <w:t>, 18/10/09</w:t>
      </w:r>
    </w:p>
    <w:p w:rsidR="00503969" w:rsidRPr="00503969" w:rsidRDefault="00503969" w:rsidP="00503969">
      <w:pPr>
        <w:spacing w:after="0" w:line="240" w:lineRule="auto"/>
        <w:jc w:val="right"/>
      </w:pPr>
      <w:r>
        <w:t>SFTP, Group 1 Labs</w:t>
      </w:r>
    </w:p>
    <w:p w:rsidR="001C1C4C" w:rsidRPr="00503969" w:rsidRDefault="001C1C4C" w:rsidP="00503969">
      <w:pPr>
        <w:spacing w:after="0" w:line="240" w:lineRule="auto"/>
        <w:jc w:val="center"/>
        <w:rPr>
          <w:sz w:val="14"/>
          <w:szCs w:val="20"/>
        </w:rPr>
      </w:pPr>
      <w:r w:rsidRPr="00503969">
        <w:rPr>
          <w:b/>
          <w:sz w:val="28"/>
          <w:u w:val="single"/>
        </w:rPr>
        <w:t>The Franck-Hertz Experiment for Mercury and Neon</w:t>
      </w:r>
    </w:p>
    <w:p w:rsidR="001C1C4C" w:rsidRDefault="001C1C4C" w:rsidP="001C1C4C">
      <w:pPr>
        <w:spacing w:after="0" w:line="240" w:lineRule="auto"/>
        <w:jc w:val="center"/>
        <w:rPr>
          <w:sz w:val="20"/>
          <w:szCs w:val="20"/>
        </w:rPr>
      </w:pPr>
    </w:p>
    <w:p w:rsidR="001C1C4C" w:rsidRDefault="001C1C4C" w:rsidP="001C1C4C">
      <w:pPr>
        <w:spacing w:after="0" w:line="240" w:lineRule="auto"/>
        <w:rPr>
          <w:sz w:val="20"/>
          <w:szCs w:val="20"/>
        </w:rPr>
      </w:pPr>
      <w:r w:rsidRPr="001C1C4C">
        <w:rPr>
          <w:b/>
          <w:sz w:val="20"/>
          <w:szCs w:val="20"/>
          <w:u w:val="single"/>
        </w:rPr>
        <w:t>Abstract</w:t>
      </w:r>
      <w:r w:rsidRPr="001C1C4C">
        <w:rPr>
          <w:b/>
          <w:sz w:val="20"/>
          <w:szCs w:val="20"/>
        </w:rPr>
        <w:t>:</w:t>
      </w:r>
    </w:p>
    <w:p w:rsidR="00503969" w:rsidRDefault="00503969" w:rsidP="00503969">
      <w:pPr>
        <w:spacing w:after="0" w:line="240" w:lineRule="auto"/>
        <w:rPr>
          <w:sz w:val="20"/>
          <w:szCs w:val="20"/>
        </w:rPr>
      </w:pPr>
      <w:r>
        <w:rPr>
          <w:sz w:val="20"/>
          <w:szCs w:val="20"/>
        </w:rPr>
        <w:t>This experiment was performed to record a Franck-Hertz curve for and estimate the first excitation energy of mercury and neon. Furthermore, the energy levels which contribute to the Franck-Hertz curve in neon and the relationship between the luminance bands in the neon tube and the characteristic Franck-Hertz curve of neon was also investigated.</w:t>
      </w:r>
    </w:p>
    <w:p w:rsidR="001C1C4C" w:rsidRDefault="001C1C4C" w:rsidP="001C1C4C">
      <w:pPr>
        <w:spacing w:after="0" w:line="240" w:lineRule="auto"/>
        <w:rPr>
          <w:sz w:val="20"/>
          <w:szCs w:val="20"/>
        </w:rPr>
      </w:pPr>
    </w:p>
    <w:p w:rsidR="001C1C4C" w:rsidRDefault="001C1C4C" w:rsidP="001C1C4C">
      <w:pPr>
        <w:spacing w:after="0" w:line="240" w:lineRule="auto"/>
        <w:rPr>
          <w:sz w:val="20"/>
          <w:szCs w:val="20"/>
        </w:rPr>
      </w:pPr>
      <w:r w:rsidRPr="001C1C4C">
        <w:rPr>
          <w:b/>
          <w:sz w:val="20"/>
          <w:szCs w:val="20"/>
          <w:u w:val="single"/>
        </w:rPr>
        <w:t>Introduction and Theory</w:t>
      </w:r>
      <w:r w:rsidRPr="001C1C4C">
        <w:rPr>
          <w:b/>
          <w:sz w:val="20"/>
          <w:szCs w:val="20"/>
        </w:rPr>
        <w:t>:</w:t>
      </w:r>
    </w:p>
    <w:p w:rsidR="001C1C4C" w:rsidRDefault="001C1C4C" w:rsidP="001C1C4C">
      <w:pPr>
        <w:spacing w:after="0" w:line="240" w:lineRule="auto"/>
        <w:rPr>
          <w:sz w:val="20"/>
          <w:szCs w:val="20"/>
        </w:rPr>
      </w:pPr>
      <w:r>
        <w:rPr>
          <w:sz w:val="20"/>
          <w:szCs w:val="20"/>
        </w:rPr>
        <w:t xml:space="preserve">This experiment was performed to record a Franck-Hertz curve for and estimate the first excitation energy of </w:t>
      </w:r>
      <w:r w:rsidR="00CB0FD6">
        <w:rPr>
          <w:sz w:val="20"/>
          <w:szCs w:val="20"/>
        </w:rPr>
        <w:t>mercury and n</w:t>
      </w:r>
      <w:r>
        <w:rPr>
          <w:sz w:val="20"/>
          <w:szCs w:val="20"/>
        </w:rPr>
        <w:t>eon. Furthermore, the energy levels which contribute to the Franck-Hertz curve</w:t>
      </w:r>
      <w:r w:rsidR="00CB0FD6">
        <w:rPr>
          <w:sz w:val="20"/>
          <w:szCs w:val="20"/>
        </w:rPr>
        <w:t xml:space="preserve"> in neon</w:t>
      </w:r>
      <w:r>
        <w:rPr>
          <w:sz w:val="20"/>
          <w:szCs w:val="20"/>
        </w:rPr>
        <w:t xml:space="preserve"> and the </w:t>
      </w:r>
      <w:r w:rsidR="00CB0FD6">
        <w:rPr>
          <w:sz w:val="20"/>
          <w:szCs w:val="20"/>
        </w:rPr>
        <w:t>relationship between the luminance bands in the neon tube and the characteristic Franck-Hertz curve of neon was also investigated.</w:t>
      </w:r>
    </w:p>
    <w:p w:rsidR="00CB0FD6" w:rsidRDefault="00CB0FD6" w:rsidP="001C1C4C">
      <w:pPr>
        <w:spacing w:after="0" w:line="240" w:lineRule="auto"/>
        <w:rPr>
          <w:sz w:val="20"/>
          <w:szCs w:val="20"/>
        </w:rPr>
      </w:pPr>
    </w:p>
    <w:p w:rsidR="00CB0FD6" w:rsidRDefault="00CB0FD6" w:rsidP="001C1C4C">
      <w:pPr>
        <w:spacing w:after="0" w:line="240" w:lineRule="auto"/>
        <w:rPr>
          <w:sz w:val="20"/>
          <w:szCs w:val="20"/>
        </w:rPr>
      </w:pPr>
      <w:r>
        <w:rPr>
          <w:sz w:val="20"/>
          <w:szCs w:val="20"/>
        </w:rPr>
        <w:t>According to quantum mechanics, an electron may absorb all or none of the energy it requires to jump to its next excitation state. This energy may be provided in the form of kinetic energy from another, travelling electron. Using this knowledge, we can</w:t>
      </w:r>
      <w:r w:rsidR="00503969">
        <w:rPr>
          <w:sz w:val="20"/>
          <w:szCs w:val="20"/>
        </w:rPr>
        <w:t xml:space="preserve"> plot a Franck-Hertz graph and</w:t>
      </w:r>
      <w:r>
        <w:rPr>
          <w:sz w:val="20"/>
          <w:szCs w:val="20"/>
        </w:rPr>
        <w:t xml:space="preserve"> determine the energies between these states.</w:t>
      </w:r>
      <w:r w:rsidR="00503969">
        <w:rPr>
          <w:sz w:val="20"/>
          <w:szCs w:val="20"/>
        </w:rPr>
        <w:t xml:space="preserve"> </w:t>
      </w:r>
      <w:r>
        <w:rPr>
          <w:sz w:val="20"/>
          <w:szCs w:val="20"/>
        </w:rPr>
        <w:t>It is well known that the kinetic energy</w:t>
      </w:r>
      <w:r w:rsidR="00705462">
        <w:rPr>
          <w:sz w:val="20"/>
          <w:szCs w:val="20"/>
        </w:rPr>
        <w:t xml:space="preserve"> (E</w:t>
      </w:r>
      <w:r w:rsidR="00705462" w:rsidRPr="00705462">
        <w:rPr>
          <w:sz w:val="24"/>
          <w:szCs w:val="20"/>
          <w:vertAlign w:val="subscript"/>
        </w:rPr>
        <w:t>k</w:t>
      </w:r>
      <w:r w:rsidR="00705462">
        <w:rPr>
          <w:sz w:val="20"/>
          <w:szCs w:val="20"/>
        </w:rPr>
        <w:t xml:space="preserve">) </w:t>
      </w:r>
      <w:r>
        <w:rPr>
          <w:sz w:val="20"/>
          <w:szCs w:val="20"/>
        </w:rPr>
        <w:t xml:space="preserve">of an electron is simply </w:t>
      </w:r>
      <w:r w:rsidR="00503969">
        <w:rPr>
          <w:sz w:val="20"/>
          <w:szCs w:val="20"/>
        </w:rPr>
        <w:t xml:space="preserve">the negative of </w:t>
      </w:r>
      <w:r>
        <w:rPr>
          <w:sz w:val="20"/>
          <w:szCs w:val="20"/>
        </w:rPr>
        <w:t>its charge</w:t>
      </w:r>
      <w:r w:rsidR="00705462">
        <w:rPr>
          <w:sz w:val="20"/>
          <w:szCs w:val="20"/>
        </w:rPr>
        <w:t xml:space="preserve"> (e)</w:t>
      </w:r>
      <w:r>
        <w:rPr>
          <w:sz w:val="20"/>
          <w:szCs w:val="20"/>
        </w:rPr>
        <w:t xml:space="preserve"> multiplied by the potential difference it has travelled through</w:t>
      </w:r>
      <w:r w:rsidR="00705462">
        <w:rPr>
          <w:sz w:val="20"/>
          <w:szCs w:val="20"/>
        </w:rPr>
        <w:t xml:space="preserve"> (V)</w:t>
      </w:r>
      <w:r>
        <w:rPr>
          <w:sz w:val="20"/>
          <w:szCs w:val="20"/>
        </w:rPr>
        <w:t xml:space="preserve"> and can be expressed by:</w:t>
      </w:r>
    </w:p>
    <w:p w:rsidR="00CB0FD6" w:rsidRDefault="00D965AF" w:rsidP="001C1C4C">
      <w:pPr>
        <w:spacing w:after="0" w:line="240" w:lineRule="auto"/>
        <w:rPr>
          <w:rFonts w:eastAsiaTheme="minorEastAsia"/>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k</m:t>
              </m:r>
            </m:sub>
          </m:sSub>
          <m:r>
            <w:rPr>
              <w:rFonts w:ascii="Cambria Math" w:hAnsi="Cambria Math"/>
              <w:sz w:val="20"/>
              <w:szCs w:val="20"/>
            </w:rPr>
            <m:t>=-eV</m:t>
          </m:r>
        </m:oMath>
      </m:oMathPara>
    </w:p>
    <w:p w:rsidR="006A7061" w:rsidRPr="00CB0FD6" w:rsidRDefault="006A7061" w:rsidP="001C1C4C">
      <w:pPr>
        <w:spacing w:after="0" w:line="240" w:lineRule="auto"/>
        <w:rPr>
          <w:rFonts w:eastAsiaTheme="minorEastAsia"/>
          <w:sz w:val="20"/>
          <w:szCs w:val="20"/>
        </w:rPr>
      </w:pPr>
    </w:p>
    <w:p w:rsidR="00CB0FD6" w:rsidRDefault="00503969" w:rsidP="006A7061">
      <w:pPr>
        <w:spacing w:after="0" w:line="240" w:lineRule="auto"/>
        <w:rPr>
          <w:rFonts w:eastAsiaTheme="minorEastAsia"/>
          <w:sz w:val="20"/>
          <w:szCs w:val="20"/>
        </w:rPr>
      </w:pPr>
      <w:r>
        <w:rPr>
          <w:rFonts w:eastAsiaTheme="minorEastAsia"/>
          <w:sz w:val="20"/>
          <w:szCs w:val="20"/>
        </w:rPr>
        <w:t xml:space="preserve">And so a simple discharge tube was used to record the current of electrons </w:t>
      </w:r>
      <w:r w:rsidR="006A7061">
        <w:rPr>
          <w:rFonts w:eastAsiaTheme="minorEastAsia"/>
          <w:sz w:val="20"/>
          <w:szCs w:val="20"/>
        </w:rPr>
        <w:t>that have enough energy to surpass a retarding potential after traversing the tube</w:t>
      </w:r>
      <w:r>
        <w:rPr>
          <w:rFonts w:eastAsiaTheme="minorEastAsia"/>
          <w:sz w:val="20"/>
          <w:szCs w:val="20"/>
        </w:rPr>
        <w:t>. The drop in current should coincide with the number of electrons transferring their kinetic energy to the electrons in the mercury/neon atoms to reach their next excitation state.</w:t>
      </w:r>
      <w:r w:rsidR="00705462">
        <w:rPr>
          <w:rFonts w:eastAsiaTheme="minorEastAsia"/>
          <w:sz w:val="20"/>
          <w:szCs w:val="20"/>
        </w:rPr>
        <w:t xml:space="preserve"> The circuit of which is as follows:</w:t>
      </w:r>
    </w:p>
    <w:p w:rsidR="00D72449" w:rsidRDefault="00D72449" w:rsidP="001C1C4C">
      <w:pPr>
        <w:spacing w:after="0" w:line="240" w:lineRule="auto"/>
        <w:rPr>
          <w:rFonts w:eastAsiaTheme="minorEastAsia"/>
          <w:sz w:val="20"/>
          <w:szCs w:val="20"/>
        </w:rPr>
      </w:pPr>
    </w:p>
    <w:p w:rsidR="00BC14C2" w:rsidRDefault="00BC14C2" w:rsidP="00D72449">
      <w:pPr>
        <w:spacing w:after="0" w:line="240" w:lineRule="auto"/>
        <w:jc w:val="center"/>
        <w:rPr>
          <w:rFonts w:eastAsiaTheme="minorEastAsia"/>
          <w:noProof/>
          <w:sz w:val="20"/>
          <w:szCs w:val="20"/>
          <w:lang w:eastAsia="zh-CN" w:bidi="he-IL"/>
        </w:rPr>
      </w:pPr>
    </w:p>
    <w:p w:rsidR="00D72449" w:rsidRDefault="001E058A" w:rsidP="00D72449">
      <w:pPr>
        <w:spacing w:after="0" w:line="240" w:lineRule="auto"/>
        <w:jc w:val="center"/>
        <w:rPr>
          <w:rFonts w:eastAsiaTheme="minorEastAsia"/>
          <w:sz w:val="20"/>
          <w:szCs w:val="20"/>
        </w:rPr>
      </w:pPr>
      <w:r w:rsidRPr="00D72449">
        <w:rPr>
          <w:rFonts w:eastAsiaTheme="minorEastAsia"/>
          <w:noProof/>
          <w:sz w:val="20"/>
          <w:szCs w:val="20"/>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238.95pt;margin-top:7.75pt;width:56.8pt;height:74.3pt;z-index:251660288;mso-width-relative:margin;mso-height-relative:margin" fillcolor="white [3212]" stroked="f">
            <v:textbox style="mso-next-textbox:#_x0000_s1026">
              <w:txbxContent>
                <w:p w:rsidR="00D72449" w:rsidRDefault="00D72449" w:rsidP="00D72449"/>
              </w:txbxContent>
            </v:textbox>
          </v:shape>
        </w:pict>
      </w:r>
      <w:r w:rsidRPr="008C2ABB">
        <w:rPr>
          <w:rFonts w:eastAsiaTheme="minorEastAsia"/>
          <w:noProof/>
          <w:sz w:val="20"/>
          <w:szCs w:val="20"/>
          <w:lang w:val="en-US" w:eastAsia="zh-TW"/>
        </w:rPr>
        <w:pict>
          <v:shape id="_x0000_s1030" type="#_x0000_t202" style="position:absolute;left:0;text-align:left;margin-left:418.05pt;margin-top:43.1pt;width:72.7pt;height:54.3pt;z-index:251662336;mso-height-percent:200;mso-height-percent:200;mso-width-relative:margin;mso-height-relative:margin" stroked="f">
            <v:textbox style="mso-fit-shape-to-text:t">
              <w:txbxContent>
                <w:p w:rsidR="008C2ABB" w:rsidRDefault="008C2ABB" w:rsidP="008C2ABB">
                  <w:pPr>
                    <w:spacing w:after="0"/>
                  </w:pPr>
                  <w:r w:rsidRPr="001E058A">
                    <w:rPr>
                      <w:u w:val="single"/>
                    </w:rPr>
                    <w:t>Legend</w:t>
                  </w:r>
                  <w:r>
                    <w:t>:</w:t>
                  </w:r>
                </w:p>
                <w:p w:rsidR="008C2ABB" w:rsidRDefault="008C2ABB" w:rsidP="001E058A">
                  <w:pPr>
                    <w:spacing w:after="0"/>
                  </w:pPr>
                  <w:r>
                    <w:t xml:space="preserve">C: </w:t>
                  </w:r>
                  <w:r w:rsidR="001E058A">
                    <w:t>C</w:t>
                  </w:r>
                  <w:r>
                    <w:t>athode</w:t>
                  </w:r>
                </w:p>
                <w:p w:rsidR="008C2ABB" w:rsidRDefault="008C2ABB" w:rsidP="001E058A">
                  <w:pPr>
                    <w:spacing w:after="0"/>
                  </w:pPr>
                  <w:r>
                    <w:t xml:space="preserve">A: </w:t>
                  </w:r>
                  <w:proofErr w:type="spellStart"/>
                  <w:r w:rsidR="001E058A">
                    <w:t>A</w:t>
                  </w:r>
                  <w:r>
                    <w:t>nnode</w:t>
                  </w:r>
                  <w:proofErr w:type="spellEnd"/>
                </w:p>
              </w:txbxContent>
            </v:textbox>
          </v:shape>
        </w:pict>
      </w:r>
      <w:r w:rsidR="00D72449">
        <w:rPr>
          <w:rFonts w:eastAsiaTheme="minorEastAsia"/>
          <w:noProof/>
          <w:sz w:val="20"/>
          <w:szCs w:val="20"/>
          <w:lang w:eastAsia="zh-CN" w:bidi="he-IL"/>
        </w:rPr>
        <w:drawing>
          <wp:inline distT="0" distB="0" distL="0" distR="0">
            <wp:extent cx="3514725" cy="2657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t="5015" b="12684"/>
                    <a:stretch>
                      <a:fillRect/>
                    </a:stretch>
                  </pic:blipFill>
                  <pic:spPr bwMode="auto">
                    <a:xfrm>
                      <a:off x="0" y="0"/>
                      <a:ext cx="3514725" cy="2657475"/>
                    </a:xfrm>
                    <a:prstGeom prst="rect">
                      <a:avLst/>
                    </a:prstGeom>
                    <a:noFill/>
                    <a:ln w="9525">
                      <a:noFill/>
                      <a:miter lim="800000"/>
                      <a:headEnd/>
                      <a:tailEnd/>
                    </a:ln>
                  </pic:spPr>
                </pic:pic>
              </a:graphicData>
            </a:graphic>
          </wp:inline>
        </w:drawing>
      </w:r>
    </w:p>
    <w:p w:rsidR="00D72449" w:rsidRDefault="00D72449" w:rsidP="006A7061">
      <w:pPr>
        <w:spacing w:after="0" w:line="240" w:lineRule="auto"/>
        <w:jc w:val="center"/>
        <w:rPr>
          <w:rFonts w:eastAsiaTheme="minorEastAsia"/>
          <w:sz w:val="20"/>
          <w:szCs w:val="20"/>
        </w:rPr>
      </w:pPr>
    </w:p>
    <w:p w:rsidR="008C2ABB" w:rsidRDefault="008C2ABB" w:rsidP="008C2ABB">
      <w:pPr>
        <w:spacing w:after="0" w:line="240" w:lineRule="auto"/>
        <w:rPr>
          <w:rFonts w:eastAsiaTheme="minorEastAsia"/>
          <w:sz w:val="20"/>
          <w:szCs w:val="20"/>
        </w:rPr>
      </w:pPr>
      <w:r w:rsidRPr="008C2ABB">
        <w:rPr>
          <w:rFonts w:eastAsiaTheme="minorEastAsia"/>
          <w:b/>
          <w:sz w:val="20"/>
          <w:szCs w:val="20"/>
          <w:u w:val="single"/>
        </w:rPr>
        <w:t>Experimental method</w:t>
      </w:r>
      <w:r w:rsidRPr="008C2ABB">
        <w:rPr>
          <w:rFonts w:eastAsiaTheme="minorEastAsia"/>
          <w:b/>
          <w:sz w:val="20"/>
          <w:szCs w:val="20"/>
        </w:rPr>
        <w:t>:</w:t>
      </w:r>
    </w:p>
    <w:p w:rsidR="008C2ABB" w:rsidRPr="008C2ABB" w:rsidRDefault="001E058A" w:rsidP="00734CF7">
      <w:pPr>
        <w:spacing w:after="0" w:line="240" w:lineRule="auto"/>
        <w:rPr>
          <w:rFonts w:eastAsiaTheme="minorEastAsia"/>
          <w:sz w:val="20"/>
          <w:szCs w:val="20"/>
        </w:rPr>
      </w:pPr>
      <w:r>
        <w:rPr>
          <w:rFonts w:eastAsiaTheme="minorEastAsia"/>
          <w:sz w:val="20"/>
          <w:szCs w:val="20"/>
        </w:rPr>
        <w:t xml:space="preserve">For mercury, the circuit </w:t>
      </w:r>
      <w:r w:rsidR="00734CF7">
        <w:rPr>
          <w:rFonts w:eastAsiaTheme="minorEastAsia"/>
          <w:sz w:val="20"/>
          <w:szCs w:val="20"/>
        </w:rPr>
        <w:t>was set up</w:t>
      </w:r>
      <w:r>
        <w:rPr>
          <w:rFonts w:eastAsiaTheme="minorEastAsia"/>
          <w:sz w:val="20"/>
          <w:szCs w:val="20"/>
        </w:rPr>
        <w:t xml:space="preserve"> similar</w:t>
      </w:r>
      <w:r w:rsidR="00734CF7">
        <w:rPr>
          <w:rFonts w:eastAsiaTheme="minorEastAsia"/>
          <w:sz w:val="20"/>
          <w:szCs w:val="20"/>
        </w:rPr>
        <w:t>ly</w:t>
      </w:r>
      <w:r>
        <w:rPr>
          <w:rFonts w:eastAsiaTheme="minorEastAsia"/>
          <w:sz w:val="20"/>
          <w:szCs w:val="20"/>
        </w:rPr>
        <w:t xml:space="preserve"> to the above, working on the same principle, except that </w:t>
      </w:r>
      <w:r w:rsidR="00734CF7">
        <w:rPr>
          <w:rFonts w:eastAsiaTheme="minorEastAsia"/>
          <w:sz w:val="20"/>
          <w:szCs w:val="20"/>
        </w:rPr>
        <w:t>the anode was cylindrical, encompassing the cathode and the whole tube was put in an oven and heated to 175°C, to vaporise the mercury.</w:t>
      </w:r>
    </w:p>
    <w:sectPr w:rsidR="008C2ABB" w:rsidRPr="008C2ABB" w:rsidSect="0050396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C1C4C"/>
    <w:rsid w:val="001C1C4C"/>
    <w:rsid w:val="001E058A"/>
    <w:rsid w:val="00503969"/>
    <w:rsid w:val="006A7061"/>
    <w:rsid w:val="00705462"/>
    <w:rsid w:val="00734CF7"/>
    <w:rsid w:val="007F6D6D"/>
    <w:rsid w:val="008C2ABB"/>
    <w:rsid w:val="00A829F6"/>
    <w:rsid w:val="00AB03BB"/>
    <w:rsid w:val="00B3118B"/>
    <w:rsid w:val="00B46768"/>
    <w:rsid w:val="00BC14C2"/>
    <w:rsid w:val="00CB0FD6"/>
    <w:rsid w:val="00D72449"/>
    <w:rsid w:val="00D965AF"/>
  </w:rsids>
  <m:mathPr>
    <m:mathFont m:val="Cambria Math"/>
    <m:brkBin m:val="before"/>
    <m:brkBinSub m:val="--"/>
    <m:smallFrac m:val="off"/>
    <m:dispDef/>
    <m:lMargin m:val="0"/>
    <m:rMargin m:val="0"/>
    <m:defJc m:val="centerGroup"/>
    <m:wrapIndent m:val="1440"/>
    <m:intLim m:val="subSup"/>
    <m:naryLim m:val="undOvr"/>
  </m:mathPr>
  <w:themeFontLang w:val="en-I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9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FD6"/>
    <w:rPr>
      <w:color w:val="808080"/>
    </w:rPr>
  </w:style>
  <w:style w:type="paragraph" w:styleId="BalloonText">
    <w:name w:val="Balloon Text"/>
    <w:basedOn w:val="Normal"/>
    <w:link w:val="BalloonTextChar"/>
    <w:uiPriority w:val="99"/>
    <w:semiHidden/>
    <w:unhideWhenUsed/>
    <w:rsid w:val="00CB0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F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012AE-F410-4436-AEA5-114D6DBB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Poopcannon</dc:creator>
  <cp:lastModifiedBy>oconbhup</cp:lastModifiedBy>
  <cp:revision>2</cp:revision>
  <dcterms:created xsi:type="dcterms:W3CDTF">2009-10-21T15:04:00Z</dcterms:created>
  <dcterms:modified xsi:type="dcterms:W3CDTF">2009-10-21T15:04:00Z</dcterms:modified>
</cp:coreProperties>
</file>